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40F1588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1-8469-1-3/25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18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11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</w:t>
      </w:r>
      <w:r>
        <w:rPr>
          <w:rFonts w:asciiTheme="minorHAnsi" w:hAnsiTheme="minorHAnsi"/>
          <w:color w:val="000000"/>
          <w:sz w:val="24"/>
          <w:szCs w:val="24"/>
        </w:rPr>
        <w:t xml:space="preserve"> 16/22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 xml:space="preserve"> i 14/25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>Naučno – nastavno vijeće Tehnološkog Univerziteta u Tuzli na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VI</w:t>
      </w:r>
      <w:r>
        <w:rPr>
          <w:rFonts w:asciiTheme="minorHAnsi" w:hAnsiTheme="minorHAnsi"/>
          <w:sz w:val="24"/>
          <w:szCs w:val="24"/>
        </w:rPr>
        <w:t xml:space="preserve">  (</w:t>
      </w:r>
      <w:r>
        <w:rPr>
          <w:rFonts w:asciiTheme="minorHAnsi" w:hAnsiTheme="minorHAnsi"/>
          <w:sz w:val="24"/>
          <w:szCs w:val="24"/>
          <w:lang w:val="bs-Latn-BA"/>
        </w:rPr>
        <w:t>š</w:t>
      </w:r>
      <w:r>
        <w:rPr>
          <w:rFonts w:hint="default" w:asciiTheme="minorHAnsi" w:hAnsiTheme="minorHAnsi"/>
          <w:sz w:val="24"/>
          <w:szCs w:val="24"/>
          <w:lang w:val="bs-Latn-BA"/>
        </w:rPr>
        <w:t>est</w:t>
      </w:r>
      <w:r>
        <w:rPr>
          <w:rFonts w:asciiTheme="minorHAnsi" w:hAnsiTheme="minorHAnsi"/>
          <w:sz w:val="24"/>
          <w:szCs w:val="24"/>
        </w:rPr>
        <w:t xml:space="preserve">oj)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18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11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Plana </w:t>
      </w:r>
      <w:r>
        <w:rPr>
          <w:rFonts w:asciiTheme="minorHAnsi" w:hAnsiTheme="minorHAnsi"/>
          <w:b/>
          <w:bCs/>
          <w:sz w:val="24"/>
          <w:szCs w:val="24"/>
        </w:rPr>
        <w:t xml:space="preserve">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izmjene i dopune </w:t>
      </w:r>
      <w:r>
        <w:rPr>
          <w:rFonts w:asciiTheme="minorHAnsi" w:hAnsiTheme="minorHAnsi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2E39E53">
      <w:pPr>
        <w:pStyle w:val="4"/>
        <w:ind w:left="5040" w:leftChars="0" w:firstLine="720" w:firstLineChars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FA5A046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18B0A12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08C0F22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Sead Ćatić, red.</w:t>
      </w:r>
      <w:r>
        <w:rPr>
          <w:rFonts w:asciiTheme="minorHAnsi" w:hAnsiTheme="minorHAnsi"/>
          <w:sz w:val="24"/>
          <w:szCs w:val="24"/>
        </w:rPr>
        <w:t>prof.</w:t>
      </w:r>
    </w:p>
    <w:p w14:paraId="0675535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5240CEDC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p w14:paraId="322C25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(NASTAVNICI) ZA AKADEMSKU 2025/26 g.</w:t>
      </w:r>
    </w:p>
    <w:p w14:paraId="64C921F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</w:p>
    <w:tbl>
      <w:tblPr>
        <w:tblStyle w:val="3"/>
        <w:tblW w:w="1453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1158"/>
        <w:gridCol w:w="851"/>
        <w:gridCol w:w="2544"/>
        <w:gridCol w:w="1188"/>
        <w:gridCol w:w="2363"/>
        <w:gridCol w:w="1364"/>
        <w:gridCol w:w="2041"/>
      </w:tblGrid>
      <w:tr w14:paraId="1D2B4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C7950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Nastavni predmet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8475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D0A62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Fond sati</w:t>
            </w:r>
          </w:p>
        </w:tc>
        <w:tc>
          <w:tcPr>
            <w:tcW w:w="3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873AE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Prethodna pokrivenost nastave</w:t>
            </w:r>
          </w:p>
        </w:tc>
        <w:tc>
          <w:tcPr>
            <w:tcW w:w="3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50FA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Izmjene pokrivenosti nastave</w:t>
            </w:r>
          </w:p>
        </w:tc>
        <w:tc>
          <w:tcPr>
            <w:tcW w:w="2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FE5D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14:paraId="70C556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14:paraId="0FC9D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 xml:space="preserve">Napomena </w:t>
            </w:r>
          </w:p>
          <w:p w14:paraId="79A82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(razlog izmjene)</w:t>
            </w:r>
          </w:p>
        </w:tc>
      </w:tr>
      <w:tr w14:paraId="00A33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517A3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27349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DA4CA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B46A3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Nastavnik/saradnik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304A0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Broj održanih sati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8D20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Nastavnik/saradnik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51594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Broj planiranih sati</w:t>
            </w:r>
          </w:p>
        </w:tc>
        <w:tc>
          <w:tcPr>
            <w:tcW w:w="2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9AC8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</w:tr>
      <w:tr w14:paraId="66D44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C66BA1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Upravljanje kvalitetom u prehrambenoj industriji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BBBE51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25442276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DF7B865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42E939B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5005C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Dr.sc.Martina Tanović, doc.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CA0AE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7AA39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 xml:space="preserve">Dr.sc Meho Bašić, red.prof.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81CDC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8C5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Usklađivanje opterećenja prema Standardima i normativima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TK</w:t>
            </w:r>
          </w:p>
        </w:tc>
      </w:tr>
      <w:tr w14:paraId="33C49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839AE8D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eastAsia="en-US"/>
              </w:rPr>
            </w:pPr>
          </w:p>
          <w:p w14:paraId="7783A9A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lang w:eastAsia="en-US"/>
              </w:rPr>
              <w:t xml:space="preserve">Zakonodavstvo u poljoprivredi 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C9FCED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009C9547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3/VI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E4CBA1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56CB5ABD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992E8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F06A3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EF77C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 xml:space="preserve">Dr.sc Meho Bašić, red.prof.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B21F5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F64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Usklađivanje opterećenja prema Standardima i normativima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TK</w:t>
            </w:r>
          </w:p>
        </w:tc>
      </w:tr>
      <w:tr w14:paraId="4C802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122BDCD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Funkcionalni mliječni proizvodi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627B9CB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148BD2A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626FE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Milica Vilušić,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9C83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CC430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 xml:space="preserve">Dr.sc Meho Bašić, red.prof.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10325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B69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Usklađivanje opterećenja prema Standardima i normativima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TK</w:t>
            </w:r>
          </w:p>
        </w:tc>
      </w:tr>
      <w:tr w14:paraId="74FA5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7C22DBC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</w:pPr>
          </w:p>
          <w:p w14:paraId="5CD2E870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  <w:t>Tehnologija prerade biljaka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601DA8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0F170CA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3/VI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CBF6535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6EB0BC0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44543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716C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56D5D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 xml:space="preserve">Dr.sc Meho Bašić, red.prof.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8E09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245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Usklađivanje opterećenja prema Standardima i normativima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TK</w:t>
            </w:r>
          </w:p>
        </w:tc>
      </w:tr>
      <w:tr w14:paraId="48594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541B45B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eastAsia="en-US"/>
              </w:rPr>
            </w:pPr>
          </w:p>
          <w:p w14:paraId="78145252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lang w:eastAsia="en-US"/>
              </w:rPr>
              <w:t>Sirovine animalnog porijekla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012C88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3/VI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A4EAA0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BC4A01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Dr.sc. Milica Vilušić, red.prof.</w:t>
            </w:r>
          </w:p>
          <w:p w14:paraId="6480F6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Dr.sc.Tijana Brčina,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9C7B0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2</w:t>
            </w:r>
          </w:p>
          <w:p w14:paraId="0A9B7EB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</w:p>
          <w:p w14:paraId="0CD13E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B82AA4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Dr.sc. Milica Vilušić, red.prof.</w:t>
            </w:r>
          </w:p>
          <w:p w14:paraId="5A9A6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 xml:space="preserve">Dr.sc Meho Bašić, red.prof.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10AE9C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2</w:t>
            </w:r>
          </w:p>
          <w:p w14:paraId="5B5B97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</w:p>
          <w:p w14:paraId="547A2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34E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sati</w:t>
            </w:r>
          </w:p>
        </w:tc>
      </w:tr>
      <w:tr w14:paraId="11B8E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A82F68A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Uslovi skladištenja poljoprivrednih proizvoda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4C638FF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4/VII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378535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B7B15E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Dr.sc.Ramzija Cvrk,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9F92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F28ED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 xml:space="preserve">Dr.sc Meho Bašić, red.prof.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AA0C7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389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Do povratka uposlenika sa bolovanja</w:t>
            </w:r>
          </w:p>
        </w:tc>
      </w:tr>
      <w:tr w14:paraId="730B3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775ED67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Toksikologija hrane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97606A4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4/VII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98171EF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928B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Dr.sc.Ramzija Cvrk,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803B5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FE3BF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 xml:space="preserve">Dr.sc Meho Bašić, red.prof.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0FA26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C60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Do povratka uposlenika sa bolovanja</w:t>
            </w:r>
          </w:p>
        </w:tc>
      </w:tr>
      <w:tr w14:paraId="1EF68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0AA838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Zdravstvena sigurnost hrane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6FE7C94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4/VII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CE06E75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08327E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Dr.sc.Ramzija Cvrk,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74C6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A1167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 xml:space="preserve">Dr.sc Meho Bašić, red.prof.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A2584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AE96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Do povratka uposlenika sa bolovanja</w:t>
            </w:r>
          </w:p>
        </w:tc>
      </w:tr>
      <w:tr w14:paraId="44232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5D76CE0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Minerali i vitamini u prehrani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29658AC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3/V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9162E74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D600C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Dr.sc.Ramzija Cvrk,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9138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65E4A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 xml:space="preserve">Dr.sc Meho Bašić, red.prof. </w:t>
            </w:r>
          </w:p>
          <w:p w14:paraId="296A54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Midhat Jašić, prof.emeritus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ED1EE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</w:t>
            </w:r>
          </w:p>
          <w:p w14:paraId="7A48CC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23D2EB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3CA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Do povratka uposlenika sa bolovanja</w:t>
            </w:r>
          </w:p>
        </w:tc>
      </w:tr>
      <w:tr w14:paraId="4BD16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ED5B67C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Kontrola kvaliteta vode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C2A87E7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1F56B78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1FE5D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Dr.sc.Ramzija Cvrk,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862CF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CC689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Dr.sc.Tijana Brčina, vanr.prof.</w:t>
            </w:r>
          </w:p>
          <w:p w14:paraId="27C489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Rijad Arnautović, ISizP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A42E7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0,6</w:t>
            </w:r>
          </w:p>
          <w:p w14:paraId="6CBEAB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5BAD3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2,4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BD0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Do povratka uposlenika sa bolovanja</w:t>
            </w:r>
          </w:p>
        </w:tc>
      </w:tr>
      <w:tr w14:paraId="3C5E4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E75856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lang w:eastAsia="en-US"/>
              </w:rPr>
              <w:t>Ambalaža i pakovanje hrane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D996D0E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6D89D35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AFBA4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4BFC8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C8739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Dr.sc.Tijana Brčina, vanr.prof.</w:t>
            </w:r>
          </w:p>
          <w:p w14:paraId="1B1431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Damir Aličić, ISizP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61E01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0,2</w:t>
            </w:r>
          </w:p>
          <w:p w14:paraId="7F1FDC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45C7D8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1,8</w:t>
            </w:r>
          </w:p>
          <w:p w14:paraId="7CA0CD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8E6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sati</w:t>
            </w:r>
          </w:p>
        </w:tc>
      </w:tr>
      <w:tr w14:paraId="11ED2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E6AD6A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  <w:t>Kontrola kvaliteta ambalaže i pakovanja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9CDBD8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8B5DB04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0F1B9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E2B3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2DEEB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Dr.sc.Tijana Brčina, vanr.prof.</w:t>
            </w:r>
          </w:p>
          <w:p w14:paraId="77BC548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Damir Aličić, ISizP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CCE5D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0,2</w:t>
            </w:r>
          </w:p>
          <w:p w14:paraId="4B0664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583609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1,8</w:t>
            </w:r>
          </w:p>
          <w:p w14:paraId="25C3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75C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sati</w:t>
            </w:r>
          </w:p>
        </w:tc>
      </w:tr>
      <w:tr w14:paraId="5E417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63C040C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</w:pPr>
          </w:p>
          <w:p w14:paraId="2F26A698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  <w:t>Tehnologija brašna i proizvoda od brašna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47BF71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4767AD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4/VIII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8DFF1E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6068AA3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B288B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Dr.sc. Dijana Miličević, red.prof.</w:t>
            </w:r>
          </w:p>
          <w:p w14:paraId="76C7C5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</w:p>
          <w:p w14:paraId="6B97A1F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72931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2</w:t>
            </w:r>
          </w:p>
          <w:p w14:paraId="04C8AC3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</w:p>
          <w:p w14:paraId="7E8D55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6BD24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Dr.sc. Dijana Miličević, red.prof.</w:t>
            </w:r>
          </w:p>
          <w:p w14:paraId="43C3F4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Dr.sc.Martina Tanović,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69682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2</w:t>
            </w:r>
          </w:p>
          <w:p w14:paraId="7136D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</w:p>
          <w:p w14:paraId="607EAB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74D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sati</w:t>
            </w:r>
          </w:p>
        </w:tc>
      </w:tr>
      <w:tr w14:paraId="01CB9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D4F3231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Tehnologija mesa i ribe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D44C0D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2B27817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4/VII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E1C38BB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08898DC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FE322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Midhat Jašić, prof.emeritus</w:t>
            </w:r>
          </w:p>
          <w:p w14:paraId="1E1B2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Dr.sc.Tijana Brčina,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BB17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2,8</w:t>
            </w:r>
          </w:p>
          <w:p w14:paraId="32D81D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4775BC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0,2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A448B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Midhat Jašić, prof.emeritus</w:t>
            </w:r>
          </w:p>
          <w:p w14:paraId="5B642D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Muamer Mandra, ISizP</w:t>
            </w:r>
          </w:p>
          <w:p w14:paraId="7B539D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Dr.sc.Tijana Brčina, vanr.prof.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22B01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1,3</w:t>
            </w:r>
          </w:p>
          <w:p w14:paraId="7CD075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6056EA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1,5</w:t>
            </w:r>
          </w:p>
          <w:p w14:paraId="0BD7DB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5915F9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0,2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63F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sati</w:t>
            </w:r>
          </w:p>
        </w:tc>
      </w:tr>
      <w:tr w14:paraId="6F409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0EFA6CE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  <w:t xml:space="preserve">Tehnologija  i kontrola kvaliteta šećera i škroba 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554733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1BE4DF3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3/VI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DE1CBC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1207273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894924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Dr.sc. Dijana Miličević,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658EF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1</w:t>
            </w:r>
          </w:p>
          <w:p w14:paraId="5A9A43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04D1B2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5DAE4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  <w:t>Dr.sc. Dijana Miličević, red.prof.</w:t>
            </w:r>
          </w:p>
          <w:p w14:paraId="03DC6D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Dr.sc.Martina Tanović,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DC31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1</w:t>
            </w:r>
          </w:p>
          <w:p w14:paraId="04EB74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298C8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FD7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Usklađivanje opterećenja prema Standardima i normativima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TK</w:t>
            </w:r>
          </w:p>
        </w:tc>
      </w:tr>
      <w:tr w14:paraId="53AC3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0AC30DD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  <w:t>Sigurnost hrane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BECC57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3/V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3EFB47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711BE9D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BB666E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Dr.sc.Martina Tanović, doc.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FC676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15F65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Dr.sc.Martina Tanović, doc.</w:t>
            </w:r>
          </w:p>
          <w:p w14:paraId="6271B0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Muamer Mandra, ISizP</w:t>
            </w:r>
          </w:p>
          <w:p w14:paraId="4BE2D2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0AB81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1</w:t>
            </w:r>
          </w:p>
          <w:p w14:paraId="21574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4E82E2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E30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r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sati</w:t>
            </w:r>
          </w:p>
        </w:tc>
      </w:tr>
      <w:tr w14:paraId="6701C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584F90E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lang w:val="hr-HR" w:eastAsia="en-US"/>
              </w:rPr>
              <w:t>Ambalaža i pakovanje poljoprivrednih proizvoda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38A951B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4/VII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03747E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2CB59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Dr.sc.Martina Tanović, doc.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0127A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680A1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Dr.sc.Martina Tanović, doc.</w:t>
            </w:r>
          </w:p>
          <w:p w14:paraId="49F326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 Midhat Jašić, prof.emeritus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28D67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1</w:t>
            </w:r>
          </w:p>
          <w:p w14:paraId="48A1B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</w:p>
          <w:p w14:paraId="1EBDA8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DEC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sati</w:t>
            </w:r>
          </w:p>
        </w:tc>
      </w:tr>
      <w:tr w14:paraId="4D20C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C079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5CF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Kontrola kvaliteta u tehnologijama animalnog porijekla 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6902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162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3/VI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3EFE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BD58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C4F9E2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Dr.sc.Tijana Brčina, vanr.prof.</w:t>
            </w:r>
          </w:p>
          <w:p w14:paraId="7E9DFA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381BDB5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253DE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2,6</w:t>
            </w:r>
          </w:p>
          <w:p w14:paraId="6C9230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0883EB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0,4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15465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Dr.sc.Tijana Brčina, vanr.prof</w:t>
            </w:r>
          </w:p>
          <w:p w14:paraId="1CC3D0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36E8D9B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Dr.sc.Damir Aličić, ISP</w:t>
            </w:r>
          </w:p>
          <w:p w14:paraId="5EC397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F66FB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2,6</w:t>
            </w:r>
          </w:p>
          <w:p w14:paraId="637645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7A31D0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0,4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6D247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Usklađivanje opterećenja prema Standardima i normativima</w:t>
            </w:r>
          </w:p>
        </w:tc>
      </w:tr>
      <w:tr w14:paraId="2947D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7B0F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Kontrola kvaliteta  u tehnologijama biljnog porijekla 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7A25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C2B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A664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16F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E1C17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Dr.sc.Amel Selimović, vanr.prof.</w:t>
            </w:r>
          </w:p>
          <w:p w14:paraId="2BBBC5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3C9966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C59A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  <w:p w14:paraId="33C6D3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5F040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73340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Dr.sc.Amel Selimović, vanr.prof.</w:t>
            </w:r>
          </w:p>
          <w:p w14:paraId="6BC85B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62C76F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Dr.sc.Damir Aličić, ISP</w:t>
            </w:r>
          </w:p>
          <w:p w14:paraId="448AA8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964B4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</w:p>
          <w:p w14:paraId="56853F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3FA52D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9C92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r-BA"/>
              </w:rPr>
            </w:pPr>
            <w:r>
              <w:rPr>
                <w:rFonts w:ascii="Times New Roman" w:hAnsi="Times New Roman"/>
                <w:sz w:val="24"/>
                <w:szCs w:val="24"/>
                <w:lang w:val="hr-BA"/>
              </w:rPr>
              <w:t>Usklađivanje opterećenja prema Standardima i normativima</w:t>
            </w:r>
          </w:p>
        </w:tc>
      </w:tr>
    </w:tbl>
    <w:p w14:paraId="4FD47C4D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</w:p>
    <w:p w14:paraId="08F0FA4A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Prodekanica za nastavu i studentska pitanja</w:t>
      </w:r>
    </w:p>
    <w:p w14:paraId="1DA56C00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__________________________________</w:t>
      </w:r>
    </w:p>
    <w:p w14:paraId="1B8F3350">
      <w:pPr>
        <w:tabs>
          <w:tab w:val="left" w:pos="7938"/>
        </w:tabs>
        <w:wordWrap w:val="0"/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Dr.sc. Edisa Papraćanin, vanr.prof.</w:t>
      </w:r>
    </w:p>
    <w:p w14:paraId="2A90024A">
      <w:pPr>
        <w:sectPr>
          <w:pgSz w:w="16838" w:h="11906" w:orient="landscape"/>
          <w:pgMar w:top="1803" w:right="1440" w:bottom="1803" w:left="1440" w:header="720" w:footer="720" w:gutter="0"/>
          <w:paperSrc/>
          <w:cols w:space="0" w:num="1"/>
          <w:rtlGutter w:val="0"/>
          <w:docGrid w:linePitch="360" w:charSpace="0"/>
        </w:sectPr>
      </w:pPr>
    </w:p>
    <w:p w14:paraId="75227D99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31FD5"/>
    <w:rsid w:val="52B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2025-11-18T12:46:00Z</dcterms:created>
  <dc:creator>Korisnik</dc:creator>
  <cp:lastModifiedBy>Korisnik</cp:lastModifiedBy>
  <dcterms:modified xsi:type="dcterms:W3CDTF">2025-11-18T12:50:50Z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3C9866AE7CAC49198581A98FFB17131F_11</vt:lpwstr>
  </property>
</Properties>
</file>